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96B4" w14:textId="0A007A82" w:rsidR="00661822" w:rsidRDefault="000A5994">
      <w:r>
        <w:t>Records and Retention</w:t>
      </w:r>
      <w:r w:rsidR="008A210E">
        <w:t xml:space="preserve"> Policy</w:t>
      </w:r>
      <w:r w:rsidR="006902C0">
        <w:t xml:space="preserve"> Template</w:t>
      </w:r>
      <w:r>
        <w:br/>
      </w:r>
      <w:r w:rsidR="008A210E" w:rsidRPr="008A210E">
        <w:t>&lt;</w:t>
      </w:r>
      <w:r w:rsidR="00296DA7" w:rsidRPr="008A210E">
        <w:t xml:space="preserve">Insert </w:t>
      </w:r>
      <w:r w:rsidR="00533F2C" w:rsidRPr="008A210E">
        <w:t>Professional Growth Network</w:t>
      </w:r>
      <w:r w:rsidR="00296DA7" w:rsidRPr="008A210E">
        <w:t xml:space="preserve"> Name</w:t>
      </w:r>
      <w:r w:rsidR="008A210E" w:rsidRPr="008A210E">
        <w:t>&gt;</w:t>
      </w:r>
      <w:r w:rsidRPr="008A210E">
        <w:br/>
      </w:r>
      <w:r w:rsidR="008A210E" w:rsidRPr="008A210E">
        <w:t>&lt;</w:t>
      </w:r>
      <w:r w:rsidR="00296DA7" w:rsidRPr="008A210E">
        <w:t>Month and Year Approved</w:t>
      </w:r>
      <w:r w:rsidR="008A210E" w:rsidRPr="008A210E">
        <w:t>&gt;</w:t>
      </w:r>
    </w:p>
    <w:p w14:paraId="5DAD4910" w14:textId="77777777" w:rsidR="000A5994" w:rsidRDefault="000A5994"/>
    <w:p w14:paraId="5BD8C433" w14:textId="77777777" w:rsidR="000A5994" w:rsidRDefault="000A5994" w:rsidP="000A5994">
      <w:pPr>
        <w:snapToGrid w:val="0"/>
        <w:spacing w:beforeLines="20" w:before="48" w:afterLines="200" w:after="48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  <w:r>
        <w:rPr>
          <w:rFonts w:ascii="Montserrat Light" w:hAnsi="Montserrat Light"/>
          <w:color w:val="000000" w:themeColor="text1"/>
          <w:sz w:val="28"/>
          <w:szCs w:val="28"/>
        </w:rPr>
        <w:t xml:space="preserve">AUTHORITY </w:t>
      </w:r>
    </w:p>
    <w:p w14:paraId="25EBCD1E" w14:textId="6156FE7D" w:rsidR="000A5994" w:rsidRDefault="000A5994" w:rsidP="000A5994">
      <w:pPr>
        <w:spacing w:beforeLines="20" w:before="48" w:afterLines="200" w:after="480" w:line="240" w:lineRule="auto"/>
        <w:rPr>
          <w:color w:val="0180AF"/>
          <w:szCs w:val="20"/>
        </w:rPr>
      </w:pPr>
      <w:r>
        <w:rPr>
          <w:szCs w:val="20"/>
        </w:rPr>
        <w:t xml:space="preserve">Article </w:t>
      </w:r>
      <w:r w:rsidR="008A210E">
        <w:rPr>
          <w:szCs w:val="20"/>
        </w:rPr>
        <w:t>&lt;</w:t>
      </w:r>
      <w:r w:rsidR="008A210E" w:rsidRPr="008A210E">
        <w:rPr>
          <w:szCs w:val="20"/>
        </w:rPr>
        <w:t>i</w:t>
      </w:r>
      <w:r w:rsidR="00296DA7" w:rsidRPr="008A210E">
        <w:rPr>
          <w:szCs w:val="20"/>
        </w:rPr>
        <w:t xml:space="preserve">nsert </w:t>
      </w:r>
      <w:r w:rsidR="008A210E" w:rsidRPr="008A210E">
        <w:rPr>
          <w:szCs w:val="20"/>
        </w:rPr>
        <w:t>bylaws</w:t>
      </w:r>
      <w:r w:rsidR="00296DA7" w:rsidRPr="008A210E">
        <w:rPr>
          <w:szCs w:val="20"/>
        </w:rPr>
        <w:t xml:space="preserve"> article referring to the establishment of policies</w:t>
      </w:r>
      <w:r w:rsidR="008A210E">
        <w:rPr>
          <w:szCs w:val="20"/>
        </w:rPr>
        <w:t>&gt;</w:t>
      </w:r>
      <w:r w:rsidR="00296DA7">
        <w:rPr>
          <w:szCs w:val="20"/>
        </w:rPr>
        <w:t xml:space="preserve"> of</w:t>
      </w:r>
      <w:r>
        <w:rPr>
          <w:szCs w:val="20"/>
        </w:rPr>
        <w:t xml:space="preserve"> the </w:t>
      </w:r>
      <w:r w:rsidR="00533F2C">
        <w:rPr>
          <w:szCs w:val="20"/>
        </w:rPr>
        <w:t>Bylaw</w:t>
      </w:r>
      <w:r w:rsidR="008A210E">
        <w:rPr>
          <w:szCs w:val="20"/>
        </w:rPr>
        <w:t>s</w:t>
      </w:r>
      <w:r w:rsidR="00533F2C">
        <w:rPr>
          <w:szCs w:val="20"/>
        </w:rPr>
        <w:t xml:space="preserve"> </w:t>
      </w:r>
      <w:r>
        <w:rPr>
          <w:szCs w:val="20"/>
        </w:rPr>
        <w:t xml:space="preserve">of the </w:t>
      </w:r>
      <w:r w:rsidR="008A210E">
        <w:rPr>
          <w:szCs w:val="20"/>
        </w:rPr>
        <w:t>&lt;insert name of network&gt;</w:t>
      </w:r>
      <w:r>
        <w:rPr>
          <w:szCs w:val="20"/>
        </w:rPr>
        <w:t>.</w:t>
      </w:r>
    </w:p>
    <w:p w14:paraId="6228C3A6" w14:textId="77777777" w:rsidR="000A5994" w:rsidRPr="00296DA7" w:rsidRDefault="000A5994" w:rsidP="00296DA7">
      <w:pPr>
        <w:snapToGrid w:val="0"/>
        <w:spacing w:beforeLines="20" w:before="48" w:afterLines="200" w:after="48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  <w:r>
        <w:rPr>
          <w:rFonts w:ascii="Montserrat Light" w:hAnsi="Montserrat Light"/>
          <w:color w:val="000000" w:themeColor="text1"/>
          <w:sz w:val="28"/>
          <w:szCs w:val="28"/>
        </w:rPr>
        <w:t xml:space="preserve">PURPOSE </w:t>
      </w:r>
    </w:p>
    <w:p w14:paraId="50E6A9A5" w14:textId="4FF18689" w:rsidR="00296DA7" w:rsidRPr="000A5994" w:rsidRDefault="00296DA7" w:rsidP="000A5994">
      <w:pPr>
        <w:rPr>
          <w:rFonts w:cs="Arial"/>
          <w:szCs w:val="20"/>
          <w:shd w:val="clear" w:color="auto" w:fill="FFFFFF"/>
        </w:rPr>
      </w:pPr>
      <w:r w:rsidRPr="00296DA7">
        <w:rPr>
          <w:rFonts w:cs="Arial"/>
          <w:szCs w:val="20"/>
          <w:shd w:val="clear" w:color="auto" w:fill="FFFFFF"/>
        </w:rPr>
        <w:t>Estab</w:t>
      </w:r>
      <w:r w:rsidR="000E278D">
        <w:rPr>
          <w:rFonts w:cs="Arial"/>
          <w:szCs w:val="20"/>
          <w:shd w:val="clear" w:color="auto" w:fill="FFFFFF"/>
        </w:rPr>
        <w:t xml:space="preserve">lish a uniform rule across the </w:t>
      </w:r>
      <w:r w:rsidR="00533F2C">
        <w:rPr>
          <w:rFonts w:cs="Arial"/>
          <w:szCs w:val="20"/>
          <w:shd w:val="clear" w:color="auto" w:fill="FFFFFF"/>
        </w:rPr>
        <w:t>network</w:t>
      </w:r>
      <w:r w:rsidRPr="00296DA7">
        <w:rPr>
          <w:rFonts w:cs="Arial"/>
          <w:szCs w:val="20"/>
          <w:shd w:val="clear" w:color="auto" w:fill="FFFFFF"/>
        </w:rPr>
        <w:t xml:space="preserve"> as to how long its records should be retained </w:t>
      </w:r>
      <w:proofErr w:type="gramStart"/>
      <w:r w:rsidRPr="00296DA7">
        <w:rPr>
          <w:rFonts w:cs="Arial"/>
          <w:szCs w:val="20"/>
          <w:shd w:val="clear" w:color="auto" w:fill="FFFFFF"/>
        </w:rPr>
        <w:t>in order to</w:t>
      </w:r>
      <w:proofErr w:type="gramEnd"/>
      <w:r w:rsidRPr="00296DA7">
        <w:rPr>
          <w:rFonts w:cs="Arial"/>
          <w:szCs w:val="20"/>
          <w:shd w:val="clear" w:color="auto" w:fill="FFFFFF"/>
        </w:rPr>
        <w:t xml:space="preserve"> ensure that its records are kept as long as legally and </w:t>
      </w:r>
      <w:r w:rsidR="00071C7C">
        <w:rPr>
          <w:rFonts w:cs="Arial"/>
          <w:szCs w:val="20"/>
          <w:shd w:val="clear" w:color="auto" w:fill="FFFFFF"/>
        </w:rPr>
        <w:t xml:space="preserve">operationally required and </w:t>
      </w:r>
      <w:r w:rsidR="001F4B4C">
        <w:rPr>
          <w:rFonts w:cs="Arial"/>
          <w:szCs w:val="20"/>
          <w:shd w:val="clear" w:color="auto" w:fill="FFFFFF"/>
        </w:rPr>
        <w:t xml:space="preserve">that obsolete records are </w:t>
      </w:r>
      <w:r w:rsidRPr="00296DA7">
        <w:rPr>
          <w:rFonts w:cs="Arial"/>
          <w:szCs w:val="20"/>
          <w:shd w:val="clear" w:color="auto" w:fill="FFFFFF"/>
        </w:rPr>
        <w:t>disposed of in a systematic and controlled manner.</w:t>
      </w:r>
    </w:p>
    <w:p w14:paraId="3C06FFD3" w14:textId="77777777" w:rsidR="000A5994" w:rsidRDefault="000A5994" w:rsidP="00296DA7">
      <w:pPr>
        <w:snapToGrid w:val="0"/>
        <w:spacing w:beforeLines="20" w:before="48" w:afterLines="200" w:after="48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  <w:r>
        <w:rPr>
          <w:rFonts w:ascii="Montserrat Light" w:hAnsi="Montserrat Light"/>
          <w:color w:val="000000" w:themeColor="text1"/>
          <w:sz w:val="28"/>
          <w:szCs w:val="28"/>
        </w:rPr>
        <w:t>DEFINITION</w:t>
      </w:r>
    </w:p>
    <w:p w14:paraId="7391162B" w14:textId="77777777" w:rsidR="000A5994" w:rsidRPr="000A5994" w:rsidRDefault="000A5994" w:rsidP="000A5994">
      <w:pPr>
        <w:snapToGrid w:val="0"/>
        <w:spacing w:beforeLines="20" w:before="48" w:afterLines="200" w:after="480" w:line="240" w:lineRule="auto"/>
        <w:ind w:left="1440" w:hanging="1440"/>
        <w:contextualSpacing/>
        <w:rPr>
          <w:szCs w:val="20"/>
        </w:rPr>
      </w:pPr>
      <w:r>
        <w:rPr>
          <w:szCs w:val="20"/>
        </w:rPr>
        <w:t>Record</w:t>
      </w:r>
      <w:r>
        <w:rPr>
          <w:szCs w:val="20"/>
        </w:rPr>
        <w:tab/>
        <w:t>Any recorded information, in any format, that meets the following three requirements</w:t>
      </w:r>
      <w:r w:rsidR="00A10546">
        <w:rPr>
          <w:szCs w:val="20"/>
        </w:rPr>
        <w:t xml:space="preserve">: </w:t>
      </w:r>
      <w:r>
        <w:rPr>
          <w:szCs w:val="20"/>
        </w:rPr>
        <w:br/>
        <w:t xml:space="preserve">provides evidence of decision making, has content, context and structure and is </w:t>
      </w:r>
      <w:r w:rsidR="002B7C0F">
        <w:rPr>
          <w:szCs w:val="20"/>
        </w:rPr>
        <w:t>authoritative</w:t>
      </w:r>
      <w:r>
        <w:rPr>
          <w:szCs w:val="20"/>
        </w:rPr>
        <w:t xml:space="preserve"> and reliable. </w:t>
      </w:r>
    </w:p>
    <w:p w14:paraId="200C6BA1" w14:textId="77777777" w:rsidR="000A5994" w:rsidRDefault="000A5994" w:rsidP="000A5994">
      <w:pPr>
        <w:snapToGrid w:val="0"/>
        <w:spacing w:beforeLines="20" w:before="48" w:afterLines="200" w:after="480" w:line="240" w:lineRule="auto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</w:p>
    <w:p w14:paraId="1789CAA5" w14:textId="77777777" w:rsidR="000A5994" w:rsidRDefault="000A5994" w:rsidP="000A5994">
      <w:pPr>
        <w:snapToGrid w:val="0"/>
        <w:spacing w:beforeLines="20" w:before="48" w:afterLines="200" w:after="48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  <w:r>
        <w:rPr>
          <w:rFonts w:ascii="Montserrat Light" w:hAnsi="Montserrat Light"/>
          <w:color w:val="000000" w:themeColor="text1"/>
          <w:sz w:val="28"/>
          <w:szCs w:val="28"/>
        </w:rPr>
        <w:t>ROLES AND RESPONSIBILITIES</w:t>
      </w:r>
    </w:p>
    <w:p w14:paraId="1C2FD68A" w14:textId="77777777" w:rsidR="000A5994" w:rsidRDefault="000A5994" w:rsidP="000A5994">
      <w:pPr>
        <w:snapToGrid w:val="0"/>
        <w:spacing w:beforeLines="20" w:before="48" w:afterLines="200" w:after="480" w:line="240" w:lineRule="auto"/>
        <w:contextualSpacing/>
        <w:rPr>
          <w:szCs w:val="20"/>
          <w:lang w:val="en-US"/>
        </w:rPr>
      </w:pPr>
      <w:r>
        <w:rPr>
          <w:szCs w:val="20"/>
          <w:lang w:val="en-US"/>
        </w:rPr>
        <w:t xml:space="preserve">All officers and committee chairs must ensure alignment with the policy. </w:t>
      </w:r>
    </w:p>
    <w:p w14:paraId="72462141" w14:textId="77777777" w:rsidR="000A5994" w:rsidRDefault="000A5994" w:rsidP="000A5994">
      <w:pPr>
        <w:snapToGrid w:val="0"/>
        <w:spacing w:beforeLines="20" w:before="48" w:afterLines="200" w:after="480" w:line="240" w:lineRule="auto"/>
        <w:contextualSpacing/>
        <w:rPr>
          <w:rFonts w:ascii="Nunito" w:hAnsi="Nunito"/>
          <w:sz w:val="22"/>
          <w:szCs w:val="22"/>
        </w:rPr>
      </w:pPr>
    </w:p>
    <w:p w14:paraId="0776B281" w14:textId="77777777" w:rsidR="000A5994" w:rsidRDefault="000A5994" w:rsidP="000A5994">
      <w:pPr>
        <w:snapToGrid w:val="0"/>
        <w:spacing w:beforeLines="20" w:before="48" w:afterLines="200" w:after="48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  <w:r>
        <w:rPr>
          <w:rFonts w:ascii="Montserrat Light" w:hAnsi="Montserrat Light"/>
          <w:color w:val="000000" w:themeColor="text1"/>
          <w:sz w:val="28"/>
          <w:szCs w:val="28"/>
        </w:rPr>
        <w:t>Retention Schedule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75"/>
        <w:gridCol w:w="2975"/>
      </w:tblGrid>
      <w:tr w:rsidR="000A5994" w14:paraId="159E6354" w14:textId="77777777" w:rsidTr="002B7C0F">
        <w:tc>
          <w:tcPr>
            <w:tcW w:w="3409" w:type="pct"/>
          </w:tcPr>
          <w:p w14:paraId="6FAAA3F3" w14:textId="77777777" w:rsidR="000A5994" w:rsidRDefault="000A5994" w:rsidP="000A5994">
            <w:pPr>
              <w:snapToGrid w:val="0"/>
              <w:spacing w:beforeLines="20" w:before="48" w:afterLines="200" w:after="480"/>
              <w:contextualSpacing/>
              <w:rPr>
                <w:rFonts w:ascii="Montserrat Light" w:hAnsi="Montserrat Light"/>
                <w:sz w:val="28"/>
                <w:szCs w:val="28"/>
              </w:rPr>
            </w:pPr>
            <w:r>
              <w:rPr>
                <w:rFonts w:ascii="Montserrat Light" w:hAnsi="Montserrat Light"/>
                <w:sz w:val="28"/>
                <w:szCs w:val="28"/>
              </w:rPr>
              <w:t>Document</w:t>
            </w:r>
          </w:p>
        </w:tc>
        <w:tc>
          <w:tcPr>
            <w:tcW w:w="1591" w:type="pct"/>
          </w:tcPr>
          <w:p w14:paraId="00609E1D" w14:textId="77777777" w:rsidR="000A5994" w:rsidRDefault="000A5994" w:rsidP="000A5994">
            <w:pPr>
              <w:snapToGrid w:val="0"/>
              <w:spacing w:beforeLines="20" w:before="48" w:afterLines="200" w:after="480"/>
              <w:contextualSpacing/>
              <w:rPr>
                <w:rFonts w:ascii="Montserrat Light" w:hAnsi="Montserrat Light"/>
                <w:sz w:val="28"/>
                <w:szCs w:val="28"/>
              </w:rPr>
            </w:pPr>
            <w:r>
              <w:rPr>
                <w:rFonts w:ascii="Montserrat Light" w:hAnsi="Montserrat Light"/>
                <w:sz w:val="28"/>
                <w:szCs w:val="28"/>
              </w:rPr>
              <w:t>Retention Schedule</w:t>
            </w:r>
          </w:p>
        </w:tc>
      </w:tr>
      <w:tr w:rsidR="000A5994" w14:paraId="238A9524" w14:textId="77777777" w:rsidTr="002B7C0F">
        <w:tc>
          <w:tcPr>
            <w:tcW w:w="3409" w:type="pct"/>
          </w:tcPr>
          <w:p w14:paraId="7855481C" w14:textId="2140C5E8" w:rsidR="000A5994" w:rsidRPr="000A5994" w:rsidRDefault="000A5994" w:rsidP="000A5994">
            <w:pPr>
              <w:rPr>
                <w:szCs w:val="20"/>
              </w:rPr>
            </w:pPr>
            <w:r w:rsidRPr="000A5994">
              <w:rPr>
                <w:rFonts w:cs="Arial"/>
                <w:szCs w:val="20"/>
              </w:rPr>
              <w:t>Keep records of committee work (which includes agenda, minutes, notes, documentation, repor</w:t>
            </w:r>
            <w:r>
              <w:rPr>
                <w:rFonts w:cs="Arial"/>
                <w:szCs w:val="20"/>
              </w:rPr>
              <w:t xml:space="preserve">ts, and significant correspondence). </w:t>
            </w:r>
            <w:r w:rsidRPr="000A5994">
              <w:rPr>
                <w:rFonts w:cs="Arial"/>
                <w:szCs w:val="20"/>
              </w:rPr>
              <w:t>The same retention applies to the work of project-based committees/</w:t>
            </w:r>
            <w:r w:rsidR="008A210E">
              <w:rPr>
                <w:rFonts w:cs="Arial"/>
                <w:szCs w:val="20"/>
              </w:rPr>
              <w:t xml:space="preserve"> </w:t>
            </w:r>
            <w:r w:rsidRPr="000A5994">
              <w:rPr>
                <w:rFonts w:cs="Arial"/>
                <w:szCs w:val="20"/>
              </w:rPr>
              <w:t>teams.</w:t>
            </w:r>
          </w:p>
        </w:tc>
        <w:tc>
          <w:tcPr>
            <w:tcW w:w="1591" w:type="pct"/>
          </w:tcPr>
          <w:p w14:paraId="7ABC4406" w14:textId="5636AA19" w:rsidR="000A5994" w:rsidRDefault="00A10546" w:rsidP="000A5994">
            <w:pPr>
              <w:snapToGrid w:val="0"/>
              <w:spacing w:beforeLines="20" w:before="48" w:afterLines="200" w:after="480"/>
              <w:contextualSpacing/>
              <w:rPr>
                <w:rFonts w:ascii="Montserrat Light" w:hAnsi="Montserrat Light"/>
                <w:sz w:val="28"/>
                <w:szCs w:val="28"/>
              </w:rPr>
            </w:pPr>
            <w:r>
              <w:rPr>
                <w:rFonts w:cs="Arial"/>
                <w:szCs w:val="20"/>
              </w:rPr>
              <w:t>F</w:t>
            </w:r>
            <w:r w:rsidR="000A5994" w:rsidRPr="000A5994">
              <w:rPr>
                <w:rFonts w:cs="Arial"/>
                <w:szCs w:val="20"/>
              </w:rPr>
              <w:t>or the lif</w:t>
            </w:r>
            <w:r w:rsidR="000A5994">
              <w:rPr>
                <w:rFonts w:cs="Arial"/>
                <w:szCs w:val="20"/>
              </w:rPr>
              <w:t>e of the committee plus 6 years</w:t>
            </w:r>
          </w:p>
        </w:tc>
      </w:tr>
      <w:tr w:rsidR="00A10546" w14:paraId="2EAD4B36" w14:textId="77777777" w:rsidTr="002B7C0F">
        <w:tc>
          <w:tcPr>
            <w:tcW w:w="3409" w:type="pct"/>
          </w:tcPr>
          <w:p w14:paraId="16883C67" w14:textId="0CD5C4E9" w:rsidR="00A10546" w:rsidRPr="002B7C0F" w:rsidRDefault="00A10546" w:rsidP="00A10546">
            <w:pPr>
              <w:rPr>
                <w:szCs w:val="20"/>
              </w:rPr>
            </w:pPr>
            <w:r w:rsidRPr="000A5994">
              <w:rPr>
                <w:rFonts w:cs="Arial"/>
                <w:szCs w:val="20"/>
              </w:rPr>
              <w:t>Constitution</w:t>
            </w:r>
            <w:r w:rsidR="00533F2C">
              <w:rPr>
                <w:rFonts w:cs="Arial"/>
                <w:szCs w:val="20"/>
              </w:rPr>
              <w:t>, bylaws</w:t>
            </w:r>
            <w:r w:rsidR="008A210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and records of </w:t>
            </w:r>
            <w:r w:rsidR="008A210E">
              <w:rPr>
                <w:rFonts w:cs="Arial"/>
                <w:szCs w:val="20"/>
              </w:rPr>
              <w:t>annual general meeting</w:t>
            </w:r>
          </w:p>
        </w:tc>
        <w:tc>
          <w:tcPr>
            <w:tcW w:w="1591" w:type="pct"/>
          </w:tcPr>
          <w:p w14:paraId="03820959" w14:textId="7FEFE9A5" w:rsidR="00A10546" w:rsidRDefault="00A10546" w:rsidP="00A10546">
            <w:r w:rsidRPr="001B116B">
              <w:rPr>
                <w:rFonts w:cs="Arial"/>
                <w:szCs w:val="20"/>
              </w:rPr>
              <w:t>Kept permanently</w:t>
            </w:r>
          </w:p>
        </w:tc>
      </w:tr>
      <w:tr w:rsidR="00A10546" w14:paraId="2F6F73E9" w14:textId="77777777" w:rsidTr="002B7C0F">
        <w:tc>
          <w:tcPr>
            <w:tcW w:w="3409" w:type="pct"/>
          </w:tcPr>
          <w:p w14:paraId="492B3314" w14:textId="1D006D59" w:rsidR="00A10546" w:rsidRPr="002B7C0F" w:rsidRDefault="00A10546" w:rsidP="00A10546">
            <w:pPr>
              <w:rPr>
                <w:szCs w:val="20"/>
              </w:rPr>
            </w:pPr>
            <w:r w:rsidRPr="002B7C0F">
              <w:rPr>
                <w:rFonts w:cs="Arial"/>
                <w:szCs w:val="20"/>
              </w:rPr>
              <w:t>Signed copies of agreements</w:t>
            </w:r>
          </w:p>
        </w:tc>
        <w:tc>
          <w:tcPr>
            <w:tcW w:w="1591" w:type="pct"/>
          </w:tcPr>
          <w:p w14:paraId="195365A7" w14:textId="31E35854" w:rsidR="00A10546" w:rsidRDefault="00A10546" w:rsidP="00A10546">
            <w:r w:rsidRPr="001B116B">
              <w:rPr>
                <w:rFonts w:cs="Arial"/>
                <w:szCs w:val="20"/>
              </w:rPr>
              <w:t>Kept permanently</w:t>
            </w:r>
          </w:p>
        </w:tc>
      </w:tr>
      <w:tr w:rsidR="002B7C0F" w14:paraId="5C6EE30C" w14:textId="77777777" w:rsidTr="002B7C0F">
        <w:tc>
          <w:tcPr>
            <w:tcW w:w="3409" w:type="pct"/>
          </w:tcPr>
          <w:p w14:paraId="61BE8CFB" w14:textId="77777777" w:rsidR="002B7C0F" w:rsidRPr="002B7C0F" w:rsidRDefault="002B7C0F" w:rsidP="002B7C0F">
            <w:pPr>
              <w:rPr>
                <w:szCs w:val="20"/>
              </w:rPr>
            </w:pPr>
            <w:r w:rsidRPr="002B7C0F">
              <w:rPr>
                <w:rFonts w:cs="Arial"/>
                <w:szCs w:val="20"/>
              </w:rPr>
              <w:t>President’s</w:t>
            </w:r>
            <w:r>
              <w:rPr>
                <w:rFonts w:cs="Arial"/>
                <w:szCs w:val="20"/>
              </w:rPr>
              <w:t xml:space="preserve"> reports and correspondence</w:t>
            </w:r>
          </w:p>
        </w:tc>
        <w:tc>
          <w:tcPr>
            <w:tcW w:w="1591" w:type="pct"/>
          </w:tcPr>
          <w:p w14:paraId="66336321" w14:textId="79C04BE1" w:rsidR="002B7C0F" w:rsidRPr="000A5994" w:rsidRDefault="00A10546" w:rsidP="000A5994">
            <w:pPr>
              <w:snapToGrid w:val="0"/>
              <w:spacing w:beforeLines="20" w:before="48" w:afterLines="200" w:after="480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2B7C0F" w:rsidRPr="002B7C0F">
              <w:rPr>
                <w:rFonts w:cs="Arial"/>
                <w:szCs w:val="20"/>
              </w:rPr>
              <w:t>ept for 10 years</w:t>
            </w:r>
          </w:p>
        </w:tc>
      </w:tr>
      <w:tr w:rsidR="002B7C0F" w14:paraId="3B7760EE" w14:textId="77777777" w:rsidTr="002B7C0F">
        <w:tc>
          <w:tcPr>
            <w:tcW w:w="3409" w:type="pct"/>
          </w:tcPr>
          <w:p w14:paraId="25091914" w14:textId="77777777" w:rsidR="002B7C0F" w:rsidRPr="002B7C0F" w:rsidRDefault="002B7C0F" w:rsidP="002B7C0F">
            <w:pPr>
              <w:rPr>
                <w:szCs w:val="20"/>
              </w:rPr>
            </w:pPr>
            <w:r w:rsidRPr="002B7C0F">
              <w:rPr>
                <w:rFonts w:cs="Arial"/>
                <w:szCs w:val="20"/>
              </w:rPr>
              <w:t xml:space="preserve">Records that are just for information purposes </w:t>
            </w:r>
          </w:p>
        </w:tc>
        <w:tc>
          <w:tcPr>
            <w:tcW w:w="1591" w:type="pct"/>
          </w:tcPr>
          <w:p w14:paraId="6913E64F" w14:textId="612BEDDF" w:rsidR="002B7C0F" w:rsidRPr="002B7C0F" w:rsidRDefault="00A10546" w:rsidP="000A5994">
            <w:pPr>
              <w:snapToGrid w:val="0"/>
              <w:spacing w:beforeLines="20" w:before="48" w:afterLines="200" w:after="480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2B7C0F">
              <w:rPr>
                <w:rFonts w:cs="Arial"/>
                <w:szCs w:val="20"/>
              </w:rPr>
              <w:t>ept for 2 years</w:t>
            </w:r>
          </w:p>
        </w:tc>
      </w:tr>
      <w:tr w:rsidR="002B7C0F" w14:paraId="15EF115E" w14:textId="77777777" w:rsidTr="002B7C0F">
        <w:tc>
          <w:tcPr>
            <w:tcW w:w="3409" w:type="pct"/>
          </w:tcPr>
          <w:p w14:paraId="6DCE6A71" w14:textId="77777777" w:rsidR="002B7C0F" w:rsidRPr="002B7C0F" w:rsidRDefault="00941C20" w:rsidP="002B7C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Financial records – y</w:t>
            </w:r>
            <w:r w:rsidR="002B7C0F" w:rsidRPr="00391BE1">
              <w:rPr>
                <w:rFonts w:cs="Arial"/>
                <w:szCs w:val="20"/>
              </w:rPr>
              <w:t>ear-end r</w:t>
            </w:r>
            <w:r w:rsidR="002B7C0F">
              <w:rPr>
                <w:rFonts w:cs="Arial"/>
                <w:szCs w:val="20"/>
              </w:rPr>
              <w:t>eports, financial statements</w:t>
            </w:r>
          </w:p>
        </w:tc>
        <w:tc>
          <w:tcPr>
            <w:tcW w:w="1591" w:type="pct"/>
          </w:tcPr>
          <w:p w14:paraId="22D6650B" w14:textId="6D517D05" w:rsidR="002B7C0F" w:rsidRDefault="00A10546" w:rsidP="000A5994">
            <w:pPr>
              <w:snapToGrid w:val="0"/>
              <w:spacing w:beforeLines="20" w:before="48" w:afterLines="200" w:after="480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2B7C0F" w:rsidRPr="00391BE1">
              <w:rPr>
                <w:rFonts w:cs="Arial"/>
                <w:szCs w:val="20"/>
              </w:rPr>
              <w:t>ept for 7 years</w:t>
            </w:r>
          </w:p>
        </w:tc>
      </w:tr>
      <w:tr w:rsidR="002B7C0F" w14:paraId="012ECA9F" w14:textId="77777777" w:rsidTr="002B7C0F">
        <w:tc>
          <w:tcPr>
            <w:tcW w:w="3409" w:type="pct"/>
          </w:tcPr>
          <w:p w14:paraId="0F7A09BC" w14:textId="77777777" w:rsidR="002B7C0F" w:rsidRPr="00391BE1" w:rsidRDefault="002B7C0F" w:rsidP="002B7C0F">
            <w:pPr>
              <w:rPr>
                <w:rFonts w:cs="Arial"/>
                <w:szCs w:val="20"/>
              </w:rPr>
            </w:pPr>
            <w:r w:rsidRPr="00391BE1">
              <w:rPr>
                <w:rFonts w:cs="Arial"/>
                <w:szCs w:val="20"/>
              </w:rPr>
              <w:t>Financial records –</w:t>
            </w:r>
            <w:r w:rsidR="00447AC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approved budgets</w:t>
            </w:r>
          </w:p>
        </w:tc>
        <w:tc>
          <w:tcPr>
            <w:tcW w:w="1591" w:type="pct"/>
          </w:tcPr>
          <w:p w14:paraId="57D428D1" w14:textId="6A361011" w:rsidR="002B7C0F" w:rsidRPr="00391BE1" w:rsidRDefault="00A10546" w:rsidP="000A5994">
            <w:pPr>
              <w:snapToGrid w:val="0"/>
              <w:spacing w:beforeLines="20" w:before="48" w:afterLines="200" w:after="480"/>
              <w:contextualSpacing/>
              <w:rPr>
                <w:rFonts w:cs="Arial"/>
                <w:szCs w:val="20"/>
              </w:rPr>
            </w:pPr>
            <w:r w:rsidRPr="00391BE1">
              <w:rPr>
                <w:rFonts w:cs="Arial"/>
                <w:szCs w:val="20"/>
              </w:rPr>
              <w:t>Kept</w:t>
            </w:r>
            <w:r w:rsidR="002B7C0F" w:rsidRPr="00391BE1">
              <w:rPr>
                <w:rFonts w:cs="Arial"/>
                <w:szCs w:val="20"/>
              </w:rPr>
              <w:t xml:space="preserve"> permanently</w:t>
            </w:r>
          </w:p>
        </w:tc>
      </w:tr>
    </w:tbl>
    <w:p w14:paraId="7B1FF06D" w14:textId="77777777" w:rsidR="000A5994" w:rsidRDefault="000A5994" w:rsidP="000A5994">
      <w:pPr>
        <w:snapToGrid w:val="0"/>
        <w:spacing w:beforeLines="20" w:before="48" w:afterLines="200" w:after="480" w:line="240" w:lineRule="auto"/>
        <w:contextualSpacing/>
        <w:rPr>
          <w:rFonts w:ascii="Montserrat Light" w:hAnsi="Montserrat Light"/>
          <w:sz w:val="28"/>
          <w:szCs w:val="28"/>
        </w:rPr>
      </w:pPr>
    </w:p>
    <w:p w14:paraId="13578E6C" w14:textId="77777777" w:rsidR="002B7C0F" w:rsidRDefault="000A5994" w:rsidP="002B7C0F">
      <w:pPr>
        <w:snapToGrid w:val="0"/>
        <w:spacing w:after="0" w:line="240" w:lineRule="auto"/>
        <w:contextualSpacing/>
        <w:rPr>
          <w:sz w:val="16"/>
          <w:szCs w:val="16"/>
        </w:rPr>
      </w:pPr>
      <w:r>
        <w:rPr>
          <w:rFonts w:ascii="Montserrat Light" w:hAnsi="Montserrat Light"/>
          <w:sz w:val="28"/>
          <w:szCs w:val="28"/>
        </w:rPr>
        <w:t>DISPOSAL PROCESS</w:t>
      </w:r>
    </w:p>
    <w:p w14:paraId="20FF77D0" w14:textId="77777777" w:rsidR="000A5994" w:rsidRPr="002B7C0F" w:rsidRDefault="000E278D" w:rsidP="008A21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540" w:hanging="54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The s</w:t>
      </w:r>
      <w:r w:rsidR="002B7C0F" w:rsidRPr="002B7C0F">
        <w:rPr>
          <w:rFonts w:ascii="Nunito Sans" w:hAnsi="Nunito Sans"/>
          <w:sz w:val="20"/>
          <w:szCs w:val="20"/>
        </w:rPr>
        <w:t xml:space="preserve">ecretary shall keep a log for all records retained. </w:t>
      </w:r>
    </w:p>
    <w:p w14:paraId="03A43158" w14:textId="77777777" w:rsidR="002B7C0F" w:rsidRPr="002B7C0F" w:rsidRDefault="002B7C0F" w:rsidP="008A21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540" w:hanging="540"/>
        <w:rPr>
          <w:rFonts w:ascii="Nunito Sans" w:hAnsi="Nunito Sans"/>
          <w:sz w:val="20"/>
          <w:szCs w:val="20"/>
        </w:rPr>
      </w:pPr>
      <w:r w:rsidRPr="002B7C0F">
        <w:rPr>
          <w:rFonts w:ascii="Nunito Sans" w:hAnsi="Nunito Sans"/>
          <w:sz w:val="20"/>
          <w:szCs w:val="20"/>
        </w:rPr>
        <w:t xml:space="preserve">When a date for disposal is reached for a record, </w:t>
      </w:r>
      <w:r w:rsidR="000E278D">
        <w:rPr>
          <w:rFonts w:ascii="Nunito Sans" w:hAnsi="Nunito Sans"/>
          <w:sz w:val="20"/>
          <w:szCs w:val="20"/>
        </w:rPr>
        <w:t>the p</w:t>
      </w:r>
      <w:r w:rsidR="00296DA7">
        <w:rPr>
          <w:rFonts w:ascii="Nunito Sans" w:hAnsi="Nunito Sans"/>
          <w:sz w:val="20"/>
          <w:szCs w:val="20"/>
        </w:rPr>
        <w:t>resident shall be notified via the disposition form.</w:t>
      </w:r>
    </w:p>
    <w:p w14:paraId="4D05BB15" w14:textId="0B20095C" w:rsidR="002B7C0F" w:rsidRPr="002B7C0F" w:rsidRDefault="000E278D" w:rsidP="008A21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540" w:hanging="54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The president shall report to the </w:t>
      </w:r>
      <w:r w:rsidR="00533F2C">
        <w:rPr>
          <w:rFonts w:ascii="Nunito Sans" w:hAnsi="Nunito Sans"/>
          <w:sz w:val="20"/>
          <w:szCs w:val="20"/>
        </w:rPr>
        <w:t>board</w:t>
      </w:r>
      <w:r w:rsidR="002B7C0F" w:rsidRPr="002B7C0F">
        <w:rPr>
          <w:rFonts w:ascii="Nunito Sans" w:hAnsi="Nunito Sans"/>
          <w:sz w:val="20"/>
          <w:szCs w:val="20"/>
        </w:rPr>
        <w:t xml:space="preserve"> </w:t>
      </w:r>
      <w:r w:rsidR="008A210E">
        <w:rPr>
          <w:rFonts w:ascii="Nunito Sans" w:hAnsi="Nunito Sans"/>
          <w:sz w:val="20"/>
          <w:szCs w:val="20"/>
        </w:rPr>
        <w:t xml:space="preserve">of directors </w:t>
      </w:r>
      <w:r w:rsidR="002B7C0F" w:rsidRPr="002B7C0F">
        <w:rPr>
          <w:rFonts w:ascii="Nunito Sans" w:hAnsi="Nunito Sans"/>
          <w:sz w:val="20"/>
          <w:szCs w:val="20"/>
        </w:rPr>
        <w:t>the documents that have reached their disposal date.</w:t>
      </w:r>
    </w:p>
    <w:p w14:paraId="6FE704B8" w14:textId="5A8219B9" w:rsidR="002B7C0F" w:rsidRPr="002B7C0F" w:rsidRDefault="000E278D" w:rsidP="008A210E">
      <w:pPr>
        <w:pStyle w:val="ListParagraph"/>
        <w:numPr>
          <w:ilvl w:val="0"/>
          <w:numId w:val="4"/>
        </w:numPr>
        <w:ind w:left="540" w:hanging="540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If the </w:t>
      </w:r>
      <w:r w:rsidR="00533F2C">
        <w:rPr>
          <w:rFonts w:ascii="Nunito Sans" w:hAnsi="Nunito Sans" w:cs="Arial"/>
          <w:sz w:val="20"/>
          <w:szCs w:val="20"/>
        </w:rPr>
        <w:t>board</w:t>
      </w:r>
      <w:r w:rsidR="002B7C0F" w:rsidRPr="002B7C0F">
        <w:rPr>
          <w:rFonts w:ascii="Nunito Sans" w:hAnsi="Nunito Sans" w:cs="Arial"/>
          <w:sz w:val="20"/>
          <w:szCs w:val="20"/>
        </w:rPr>
        <w:t xml:space="preserve"> deems any of the records as having an enduring </w:t>
      </w:r>
      <w:r>
        <w:rPr>
          <w:rFonts w:ascii="Nunito Sans" w:hAnsi="Nunito Sans" w:cs="Arial"/>
          <w:sz w:val="20"/>
          <w:szCs w:val="20"/>
        </w:rPr>
        <w:t xml:space="preserve">value to the organization, the </w:t>
      </w:r>
      <w:r w:rsidR="00533F2C">
        <w:rPr>
          <w:rFonts w:ascii="Nunito Sans" w:hAnsi="Nunito Sans" w:cs="Arial"/>
          <w:sz w:val="20"/>
          <w:szCs w:val="20"/>
        </w:rPr>
        <w:t>board</w:t>
      </w:r>
      <w:r w:rsidR="002B7C0F" w:rsidRPr="002B7C0F">
        <w:rPr>
          <w:rFonts w:ascii="Nunito Sans" w:hAnsi="Nunito Sans" w:cs="Arial"/>
          <w:sz w:val="20"/>
          <w:szCs w:val="20"/>
        </w:rPr>
        <w:t xml:space="preserve"> may choose to keep the record permanently. </w:t>
      </w:r>
    </w:p>
    <w:p w14:paraId="0CACFCDC" w14:textId="77777777" w:rsidR="002B7C0F" w:rsidRDefault="000E278D" w:rsidP="008A21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540" w:hanging="54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lastRenderedPageBreak/>
        <w:t>The p</w:t>
      </w:r>
      <w:r w:rsidR="002B7C0F" w:rsidRPr="002B7C0F">
        <w:rPr>
          <w:rFonts w:ascii="Nunito Sans" w:hAnsi="Nunito Sans"/>
          <w:sz w:val="20"/>
          <w:szCs w:val="20"/>
        </w:rPr>
        <w:t xml:space="preserve">resident shall arrange disposal of any document deemed not permanent and has reached its retention schedule. </w:t>
      </w:r>
    </w:p>
    <w:p w14:paraId="636D3AB1" w14:textId="77777777" w:rsidR="00296DA7" w:rsidRPr="002B7C0F" w:rsidRDefault="00296DA7" w:rsidP="008A210E">
      <w:pPr>
        <w:pStyle w:val="ListParagraph"/>
        <w:numPr>
          <w:ilvl w:val="0"/>
          <w:numId w:val="4"/>
        </w:numPr>
        <w:snapToGrid w:val="0"/>
        <w:spacing w:after="0" w:line="240" w:lineRule="auto"/>
        <w:ind w:left="540" w:hanging="540"/>
        <w:rPr>
          <w:rFonts w:ascii="Nunito Sans" w:hAnsi="Nunito Sans"/>
          <w:sz w:val="20"/>
          <w:szCs w:val="20"/>
        </w:rPr>
      </w:pPr>
      <w:r w:rsidRPr="00296DA7">
        <w:rPr>
          <w:rFonts w:ascii="Nunito Sans" w:hAnsi="Nunito Sans"/>
          <w:sz w:val="20"/>
          <w:szCs w:val="20"/>
        </w:rPr>
        <w:t xml:space="preserve">The disposition form shall be signed and retained permanently. </w:t>
      </w:r>
    </w:p>
    <w:p w14:paraId="70719009" w14:textId="77777777" w:rsidR="000A5994" w:rsidRDefault="000A5994" w:rsidP="000A5994">
      <w:pPr>
        <w:snapToGrid w:val="0"/>
        <w:spacing w:beforeLines="20" w:before="48" w:afterLines="200" w:after="480" w:line="240" w:lineRule="auto"/>
        <w:contextualSpacing/>
        <w:rPr>
          <w:rFonts w:ascii="Montserrat Light" w:hAnsi="Montserrat Light"/>
          <w:sz w:val="28"/>
          <w:szCs w:val="28"/>
        </w:rPr>
      </w:pPr>
    </w:p>
    <w:p w14:paraId="4FAF8D26" w14:textId="77777777" w:rsidR="000A5994" w:rsidRDefault="000A5994" w:rsidP="000A5994">
      <w:pPr>
        <w:snapToGrid w:val="0"/>
        <w:spacing w:beforeLines="20" w:before="48" w:afterLines="200" w:after="480"/>
        <w:contextualSpacing/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APPROVAL</w:t>
      </w:r>
    </w:p>
    <w:p w14:paraId="1CC6C997" w14:textId="43B342AE" w:rsidR="000A5994" w:rsidRDefault="000A5994" w:rsidP="000A5994">
      <w:pPr>
        <w:tabs>
          <w:tab w:val="left" w:pos="6480"/>
          <w:tab w:val="left" w:leader="underscore" w:pos="9360"/>
        </w:tabs>
        <w:snapToGrid w:val="0"/>
        <w:spacing w:beforeLines="20" w:before="48" w:afterLines="200" w:after="480" w:line="240" w:lineRule="auto"/>
        <w:contextualSpacing/>
        <w:rPr>
          <w:szCs w:val="20"/>
        </w:rPr>
      </w:pPr>
      <w:r>
        <w:rPr>
          <w:szCs w:val="20"/>
        </w:rPr>
        <w:t>This policy was approved by the</w:t>
      </w:r>
      <w:r w:rsidR="00296DA7">
        <w:rPr>
          <w:szCs w:val="20"/>
        </w:rPr>
        <w:t xml:space="preserve"> </w:t>
      </w:r>
      <w:r w:rsidR="008A210E">
        <w:rPr>
          <w:szCs w:val="20"/>
        </w:rPr>
        <w:t>&lt;</w:t>
      </w:r>
      <w:r w:rsidR="008A210E" w:rsidRPr="008A210E">
        <w:rPr>
          <w:szCs w:val="20"/>
        </w:rPr>
        <w:t>insert body/officer authorized to approve</w:t>
      </w:r>
      <w:r w:rsidR="008A210E">
        <w:rPr>
          <w:szCs w:val="20"/>
        </w:rPr>
        <w:t>&gt;</w:t>
      </w:r>
      <w:r w:rsidR="008A210E" w:rsidRPr="008A210E">
        <w:rPr>
          <w:szCs w:val="20"/>
        </w:rPr>
        <w:t xml:space="preserve"> </w:t>
      </w:r>
      <w:r w:rsidR="00A10546" w:rsidRPr="008A210E">
        <w:rPr>
          <w:szCs w:val="20"/>
        </w:rPr>
        <w:t xml:space="preserve">on </w:t>
      </w:r>
      <w:r w:rsidR="008A210E">
        <w:rPr>
          <w:szCs w:val="20"/>
        </w:rPr>
        <w:t>&lt;</w:t>
      </w:r>
      <w:r w:rsidR="008A210E" w:rsidRPr="008A210E">
        <w:rPr>
          <w:szCs w:val="20"/>
        </w:rPr>
        <w:t>insert date</w:t>
      </w:r>
      <w:r w:rsidR="008A210E">
        <w:rPr>
          <w:szCs w:val="20"/>
        </w:rPr>
        <w:t xml:space="preserve">&gt;. </w:t>
      </w:r>
    </w:p>
    <w:p w14:paraId="11307715" w14:textId="77777777" w:rsidR="000A5994" w:rsidRDefault="000A5994" w:rsidP="000A5994">
      <w:pPr>
        <w:snapToGrid w:val="0"/>
        <w:spacing w:beforeLines="20" w:before="48" w:afterLines="200" w:after="48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</w:p>
    <w:p w14:paraId="0B551036" w14:textId="77777777" w:rsidR="000A5994" w:rsidRDefault="000A5994" w:rsidP="008A210E">
      <w:pPr>
        <w:snapToGrid w:val="0"/>
        <w:spacing w:before="100" w:beforeAutospacing="1" w:after="0" w:line="240" w:lineRule="auto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  <w:r>
        <w:rPr>
          <w:rFonts w:ascii="Montserrat Light" w:hAnsi="Montserrat Light"/>
          <w:color w:val="000000" w:themeColor="text1"/>
          <w:sz w:val="28"/>
          <w:szCs w:val="28"/>
        </w:rPr>
        <w:t>RELATED POLICIES AND FORMS</w:t>
      </w:r>
    </w:p>
    <w:p w14:paraId="784619BA" w14:textId="26C3193D" w:rsidR="008A210E" w:rsidRPr="008A210E" w:rsidRDefault="00296DA7" w:rsidP="008A210E">
      <w:pPr>
        <w:pStyle w:val="ListParagraph"/>
        <w:numPr>
          <w:ilvl w:val="0"/>
          <w:numId w:val="5"/>
        </w:numPr>
        <w:snapToGrid w:val="0"/>
        <w:spacing w:after="100" w:afterAutospacing="1" w:line="240" w:lineRule="auto"/>
        <w:ind w:left="540" w:hanging="540"/>
        <w:rPr>
          <w:rFonts w:ascii="Nunito Sans" w:hAnsi="Nunito Sans"/>
          <w:szCs w:val="20"/>
        </w:rPr>
      </w:pPr>
      <w:r w:rsidRPr="008A210E">
        <w:rPr>
          <w:rFonts w:ascii="Nunito Sans" w:hAnsi="Nunito Sans"/>
          <w:szCs w:val="20"/>
        </w:rPr>
        <w:t xml:space="preserve">Records Disposition Form </w:t>
      </w:r>
      <w:r w:rsidR="00AD1D54">
        <w:rPr>
          <w:rFonts w:ascii="Nunito Sans" w:hAnsi="Nunito Sans"/>
          <w:szCs w:val="20"/>
        </w:rPr>
        <w:t>(link to form)</w:t>
      </w:r>
    </w:p>
    <w:p w14:paraId="2C50C2C3" w14:textId="34F1704E" w:rsidR="00296DA7" w:rsidRPr="008A210E" w:rsidRDefault="008A210E" w:rsidP="008A210E">
      <w:pPr>
        <w:pStyle w:val="ListParagraph"/>
        <w:numPr>
          <w:ilvl w:val="0"/>
          <w:numId w:val="5"/>
        </w:numPr>
        <w:snapToGrid w:val="0"/>
        <w:spacing w:before="100" w:beforeAutospacing="1" w:after="100" w:afterAutospacing="1" w:line="240" w:lineRule="auto"/>
        <w:ind w:left="540" w:hanging="540"/>
        <w:rPr>
          <w:rFonts w:ascii="Nunito Sans" w:hAnsi="Nunito Sans"/>
          <w:szCs w:val="20"/>
        </w:rPr>
      </w:pPr>
      <w:r w:rsidRPr="008A210E">
        <w:rPr>
          <w:rFonts w:ascii="Nunito Sans" w:hAnsi="Nunito Sans"/>
          <w:szCs w:val="20"/>
        </w:rPr>
        <w:t>&lt;</w:t>
      </w:r>
      <w:r w:rsidR="000A5994" w:rsidRPr="008A210E">
        <w:rPr>
          <w:rFonts w:ascii="Nunito Sans" w:hAnsi="Nunito Sans"/>
          <w:szCs w:val="20"/>
        </w:rPr>
        <w:t>Bulleted list of the forms</w:t>
      </w:r>
      <w:r w:rsidR="00A10546" w:rsidRPr="008A210E">
        <w:rPr>
          <w:rFonts w:ascii="Nunito Sans" w:hAnsi="Nunito Sans"/>
          <w:szCs w:val="20"/>
        </w:rPr>
        <w:t>,</w:t>
      </w:r>
      <w:r w:rsidR="000A5994" w:rsidRPr="008A210E">
        <w:rPr>
          <w:rFonts w:ascii="Nunito Sans" w:hAnsi="Nunito Sans"/>
          <w:szCs w:val="20"/>
        </w:rPr>
        <w:t xml:space="preserve"> administrative guidelines and any other documents related to the </w:t>
      </w:r>
      <w:r w:rsidRPr="008A210E">
        <w:rPr>
          <w:rFonts w:ascii="Nunito Sans" w:hAnsi="Nunito Sans"/>
          <w:szCs w:val="20"/>
        </w:rPr>
        <w:t>p</w:t>
      </w:r>
      <w:r w:rsidR="000A5994" w:rsidRPr="008A210E">
        <w:rPr>
          <w:rFonts w:ascii="Nunito Sans" w:hAnsi="Nunito Sans"/>
          <w:szCs w:val="20"/>
        </w:rPr>
        <w:t>olicy.</w:t>
      </w:r>
      <w:r w:rsidRPr="008A210E">
        <w:rPr>
          <w:rFonts w:ascii="Nunito Sans" w:hAnsi="Nunito Sans"/>
          <w:szCs w:val="20"/>
        </w:rPr>
        <w:t>&gt;</w:t>
      </w:r>
    </w:p>
    <w:p w14:paraId="314C6D96" w14:textId="77777777" w:rsidR="000A5994" w:rsidRDefault="000A5994"/>
    <w:sectPr w:rsidR="000A599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83EB" w14:textId="77777777" w:rsidR="009968C3" w:rsidRDefault="009968C3" w:rsidP="002B7C0F">
      <w:pPr>
        <w:spacing w:after="0" w:line="240" w:lineRule="auto"/>
      </w:pPr>
      <w:r>
        <w:separator/>
      </w:r>
    </w:p>
  </w:endnote>
  <w:endnote w:type="continuationSeparator" w:id="0">
    <w:p w14:paraId="0B381698" w14:textId="77777777" w:rsidR="009968C3" w:rsidRDefault="009968C3" w:rsidP="002B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D68D" w14:textId="77777777" w:rsidR="009968C3" w:rsidRDefault="009968C3" w:rsidP="002B7C0F">
      <w:pPr>
        <w:spacing w:after="0" w:line="240" w:lineRule="auto"/>
      </w:pPr>
      <w:r>
        <w:separator/>
      </w:r>
    </w:p>
  </w:footnote>
  <w:footnote w:type="continuationSeparator" w:id="0">
    <w:p w14:paraId="5D47E6D9" w14:textId="77777777" w:rsidR="009968C3" w:rsidRDefault="009968C3" w:rsidP="002B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DC57" w14:textId="77777777" w:rsidR="002B7C0F" w:rsidRDefault="002B7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A1721"/>
    <w:multiLevelType w:val="hybridMultilevel"/>
    <w:tmpl w:val="F800D1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1DD"/>
    <w:multiLevelType w:val="hybridMultilevel"/>
    <w:tmpl w:val="70F2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7008"/>
    <w:multiLevelType w:val="hybridMultilevel"/>
    <w:tmpl w:val="7E621B8C"/>
    <w:lvl w:ilvl="0" w:tplc="DD3A86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7A28E1"/>
    <w:multiLevelType w:val="hybridMultilevel"/>
    <w:tmpl w:val="0DE68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808A8"/>
    <w:multiLevelType w:val="hybridMultilevel"/>
    <w:tmpl w:val="71C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94"/>
    <w:rsid w:val="000058AC"/>
    <w:rsid w:val="00071C7C"/>
    <w:rsid w:val="000A5994"/>
    <w:rsid w:val="000E278D"/>
    <w:rsid w:val="001F4B4C"/>
    <w:rsid w:val="00296DA7"/>
    <w:rsid w:val="002B7C0F"/>
    <w:rsid w:val="00447AC3"/>
    <w:rsid w:val="00533F2C"/>
    <w:rsid w:val="00661822"/>
    <w:rsid w:val="006902C0"/>
    <w:rsid w:val="006B0A1F"/>
    <w:rsid w:val="0075224D"/>
    <w:rsid w:val="0078225D"/>
    <w:rsid w:val="008A210E"/>
    <w:rsid w:val="008B6DD6"/>
    <w:rsid w:val="00941C20"/>
    <w:rsid w:val="00972D6D"/>
    <w:rsid w:val="009968C3"/>
    <w:rsid w:val="00A10546"/>
    <w:rsid w:val="00AD1D54"/>
    <w:rsid w:val="00C82041"/>
    <w:rsid w:val="00F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60EE6C"/>
  <w15:chartTrackingRefBased/>
  <w15:docId w15:val="{C818A1F4-6350-4BE8-937B-F818DE26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ajorBidi"/>
        <w:color w:val="2E74B5" w:themeColor="accent1" w:themeShade="BF"/>
        <w:sz w:val="32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C"/>
    <w:rPr>
      <w:rFonts w:ascii="Nunito Sans" w:hAnsi="Nunito Sans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8AC"/>
    <w:pPr>
      <w:keepNext/>
      <w:keepLines/>
      <w:spacing w:before="240" w:after="0"/>
      <w:outlineLvl w:val="0"/>
    </w:pPr>
    <w:rPr>
      <w:rFonts w:ascii="Montserrat" w:eastAsiaTheme="majorEastAsia" w:hAnsi="Montserrat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8AC"/>
    <w:pPr>
      <w:keepNext/>
      <w:keepLines/>
      <w:spacing w:before="40" w:after="0"/>
      <w:outlineLvl w:val="1"/>
    </w:pPr>
    <w:rPr>
      <w:rFonts w:ascii="Montserrat Light" w:eastAsiaTheme="majorEastAsia" w:hAnsi="Montserrat Light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AC"/>
    <w:rPr>
      <w:rFonts w:eastAsiaTheme="majorEastAsia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8AC"/>
    <w:rPr>
      <w:rFonts w:ascii="Montserrat Light" w:eastAsiaTheme="majorEastAsia" w:hAnsi="Montserrat Light"/>
      <w:b/>
      <w:color w:val="auto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A5994"/>
    <w:pPr>
      <w:spacing w:after="200" w:line="276" w:lineRule="auto"/>
      <w:ind w:left="720"/>
      <w:contextualSpacing/>
    </w:pPr>
    <w:rPr>
      <w:rFonts w:ascii="Franklin Gothic Book" w:hAnsi="Franklin Gothic Book" w:cstheme="minorBidi"/>
      <w:sz w:val="22"/>
      <w:szCs w:val="22"/>
    </w:rPr>
  </w:style>
  <w:style w:type="table" w:styleId="TableGrid">
    <w:name w:val="Table Grid"/>
    <w:basedOn w:val="TableNormal"/>
    <w:uiPriority w:val="39"/>
    <w:rsid w:val="000A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A5994"/>
    <w:rPr>
      <w:rFonts w:ascii="Franklin Gothic Book" w:hAnsi="Franklin Gothic Book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0F"/>
    <w:rPr>
      <w:rFonts w:ascii="Nunito Sans" w:hAnsi="Nunito Sans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2B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0F"/>
    <w:rPr>
      <w:rFonts w:ascii="Nunito Sans" w:hAnsi="Nunito Sans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Burant</dc:creator>
  <cp:keywords/>
  <dc:description/>
  <cp:lastModifiedBy>Colleen Paulhus</cp:lastModifiedBy>
  <cp:revision>4</cp:revision>
  <cp:lastPrinted>2020-09-04T15:15:00Z</cp:lastPrinted>
  <dcterms:created xsi:type="dcterms:W3CDTF">2021-09-02T20:40:00Z</dcterms:created>
  <dcterms:modified xsi:type="dcterms:W3CDTF">2021-09-02T21:56:00Z</dcterms:modified>
</cp:coreProperties>
</file>